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1BAB1" w14:textId="77777777" w:rsidR="0032346F" w:rsidRPr="00446F48" w:rsidRDefault="0032346F" w:rsidP="0032346F">
      <w:pPr>
        <w:spacing w:line="240" w:lineRule="auto"/>
        <w:contextualSpacing/>
        <w:jc w:val="right"/>
        <w:rPr>
          <w:rFonts w:cs="Calibri"/>
          <w:b/>
          <w:bCs/>
          <w:color w:val="000000"/>
          <w:sz w:val="26"/>
          <w:szCs w:val="26"/>
          <w:lang w:val="ro-RO"/>
        </w:rPr>
      </w:pPr>
      <w:bookmarkStart w:id="0" w:name="_GoBack"/>
      <w:bookmarkEnd w:id="0"/>
      <w:r w:rsidRPr="00446F48">
        <w:rPr>
          <w:lang w:val="ro-RO"/>
        </w:rPr>
        <w:pict w14:anchorId="32633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5pt;margin-top:9pt;width:71.75pt;height:71.75pt;z-index:-251658752;mso-wrap-distance-left:9.05pt;mso-wrap-distance-right:9.05pt" filled="t">
            <v:fill color2="black"/>
            <v:imagedata r:id="rId7" o:title=""/>
          </v:shape>
        </w:pict>
      </w:r>
      <w:r w:rsidRPr="00446F48">
        <w:rPr>
          <w:rFonts w:cs="Calibri"/>
          <w:b/>
          <w:bCs/>
          <w:color w:val="000000"/>
          <w:sz w:val="26"/>
          <w:szCs w:val="26"/>
          <w:lang w:val="ro-RO"/>
        </w:rPr>
        <w:t>INSTITUTUL NA</w:t>
      </w:r>
      <w:r w:rsidR="00446F48">
        <w:rPr>
          <w:rFonts w:cs="Calibri"/>
          <w:b/>
          <w:bCs/>
          <w:color w:val="000000"/>
          <w:sz w:val="26"/>
          <w:szCs w:val="26"/>
          <w:lang w:val="ro-RO"/>
        </w:rPr>
        <w:t>Ț</w:t>
      </w:r>
      <w:r w:rsidRPr="00446F48">
        <w:rPr>
          <w:rFonts w:cs="Calibri"/>
          <w:b/>
          <w:bCs/>
          <w:color w:val="000000"/>
          <w:sz w:val="26"/>
          <w:szCs w:val="26"/>
          <w:lang w:val="ro-RO"/>
        </w:rPr>
        <w:t xml:space="preserve">IONAL PENTRU </w:t>
      </w:r>
    </w:p>
    <w:p w14:paraId="0543D0E0" w14:textId="77777777" w:rsidR="0032346F" w:rsidRPr="00446F48" w:rsidRDefault="0032346F" w:rsidP="0032346F">
      <w:pPr>
        <w:spacing w:line="240" w:lineRule="auto"/>
        <w:contextualSpacing/>
        <w:jc w:val="right"/>
        <w:rPr>
          <w:rFonts w:cs="Calibri"/>
          <w:b/>
          <w:bCs/>
          <w:color w:val="000000"/>
          <w:sz w:val="26"/>
          <w:szCs w:val="26"/>
          <w:lang w:val="ro-RO"/>
        </w:rPr>
      </w:pPr>
      <w:r w:rsidRPr="00446F48">
        <w:rPr>
          <w:rFonts w:cs="Calibri"/>
          <w:b/>
          <w:bCs/>
          <w:color w:val="000000"/>
          <w:sz w:val="26"/>
          <w:szCs w:val="26"/>
          <w:lang w:val="ro-RO"/>
        </w:rPr>
        <w:t xml:space="preserve">PREGĂTIREA </w:t>
      </w:r>
      <w:r w:rsidR="00446F48">
        <w:rPr>
          <w:rFonts w:cs="Calibri"/>
          <w:b/>
          <w:bCs/>
          <w:color w:val="000000"/>
          <w:sz w:val="26"/>
          <w:szCs w:val="26"/>
          <w:lang w:val="ro-RO"/>
        </w:rPr>
        <w:t>Ș</w:t>
      </w:r>
      <w:r w:rsidRPr="00446F48">
        <w:rPr>
          <w:rFonts w:cs="Calibri"/>
          <w:b/>
          <w:bCs/>
          <w:color w:val="000000"/>
          <w:sz w:val="26"/>
          <w:szCs w:val="26"/>
          <w:lang w:val="ro-RO"/>
        </w:rPr>
        <w:t>I PERFEC</w:t>
      </w:r>
      <w:r w:rsidR="00446F48">
        <w:rPr>
          <w:rFonts w:cs="Calibri"/>
          <w:b/>
          <w:bCs/>
          <w:color w:val="000000"/>
          <w:sz w:val="26"/>
          <w:szCs w:val="26"/>
          <w:lang w:val="ro-RO"/>
        </w:rPr>
        <w:t>Ț</w:t>
      </w:r>
      <w:r w:rsidRPr="00446F48">
        <w:rPr>
          <w:rFonts w:cs="Calibri"/>
          <w:b/>
          <w:bCs/>
          <w:color w:val="000000"/>
          <w:sz w:val="26"/>
          <w:szCs w:val="26"/>
          <w:lang w:val="ro-RO"/>
        </w:rPr>
        <w:t>IONAREA AVOCA</w:t>
      </w:r>
      <w:r w:rsidR="00446F48">
        <w:rPr>
          <w:rFonts w:cs="Calibri"/>
          <w:b/>
          <w:bCs/>
          <w:color w:val="000000"/>
          <w:sz w:val="26"/>
          <w:szCs w:val="26"/>
          <w:lang w:val="ro-RO"/>
        </w:rPr>
        <w:t>Ț</w:t>
      </w:r>
      <w:r w:rsidRPr="00446F48">
        <w:rPr>
          <w:rFonts w:cs="Calibri"/>
          <w:b/>
          <w:bCs/>
          <w:color w:val="000000"/>
          <w:sz w:val="26"/>
          <w:szCs w:val="26"/>
          <w:lang w:val="ro-RO"/>
        </w:rPr>
        <w:t xml:space="preserve">ILOR </w:t>
      </w:r>
    </w:p>
    <w:p w14:paraId="15B0DA2C" w14:textId="77777777" w:rsidR="0032346F" w:rsidRPr="00446F48" w:rsidRDefault="0032346F" w:rsidP="0032346F">
      <w:pPr>
        <w:spacing w:line="240" w:lineRule="auto"/>
        <w:contextualSpacing/>
        <w:jc w:val="right"/>
        <w:rPr>
          <w:rFonts w:cs="Calibri"/>
          <w:b/>
          <w:bCs/>
          <w:color w:val="000000"/>
          <w:sz w:val="26"/>
          <w:szCs w:val="26"/>
          <w:lang w:val="ro-RO"/>
        </w:rPr>
      </w:pPr>
    </w:p>
    <w:p w14:paraId="3CAE97AF" w14:textId="77777777" w:rsidR="0032346F" w:rsidRPr="00446F48" w:rsidRDefault="0032346F" w:rsidP="0032346F">
      <w:pPr>
        <w:spacing w:line="240" w:lineRule="auto"/>
        <w:contextualSpacing/>
        <w:jc w:val="right"/>
        <w:rPr>
          <w:rFonts w:cs="Calibri"/>
          <w:b/>
          <w:bCs/>
          <w:color w:val="000000"/>
          <w:sz w:val="26"/>
          <w:szCs w:val="26"/>
          <w:lang w:val="ro-RO"/>
        </w:rPr>
      </w:pPr>
      <w:r w:rsidRPr="00446F48">
        <w:rPr>
          <w:rFonts w:cs="Calibri"/>
          <w:b/>
          <w:bCs/>
          <w:color w:val="000000"/>
          <w:sz w:val="26"/>
          <w:szCs w:val="26"/>
          <w:lang w:val="ro-RO"/>
        </w:rPr>
        <w:t>EXAMEN ABSOLVIRE</w:t>
      </w:r>
    </w:p>
    <w:p w14:paraId="10FDFC47" w14:textId="77777777" w:rsidR="0032346F" w:rsidRPr="00446F48" w:rsidRDefault="0032346F" w:rsidP="0032346F">
      <w:pPr>
        <w:spacing w:line="240" w:lineRule="auto"/>
        <w:contextualSpacing/>
        <w:jc w:val="right"/>
        <w:rPr>
          <w:bCs/>
          <w:color w:val="000000"/>
          <w:lang w:val="ro-RO"/>
        </w:rPr>
      </w:pPr>
      <w:r w:rsidRPr="00446F48">
        <w:rPr>
          <w:rFonts w:cs="Calibri"/>
          <w:b/>
          <w:bCs/>
          <w:color w:val="000000"/>
          <w:sz w:val="26"/>
          <w:szCs w:val="26"/>
          <w:lang w:val="ro-RO"/>
        </w:rPr>
        <w:t>SESIUNEA NOIEMBRIE 201</w:t>
      </w:r>
      <w:r w:rsidR="008B5286" w:rsidRPr="00446F48">
        <w:rPr>
          <w:rFonts w:cs="Calibri"/>
          <w:b/>
          <w:bCs/>
          <w:color w:val="000000"/>
          <w:sz w:val="26"/>
          <w:szCs w:val="26"/>
          <w:lang w:val="ro-RO"/>
        </w:rPr>
        <w:t>6</w:t>
      </w:r>
      <w:r w:rsidRPr="00446F48">
        <w:rPr>
          <w:rFonts w:cs="Calibri"/>
          <w:b/>
          <w:bCs/>
          <w:color w:val="000000"/>
          <w:sz w:val="26"/>
          <w:szCs w:val="26"/>
          <w:lang w:val="ro-RO"/>
        </w:rPr>
        <w:t xml:space="preserve"> </w:t>
      </w:r>
    </w:p>
    <w:p w14:paraId="7AC3F240" w14:textId="77777777" w:rsidR="00016607" w:rsidRPr="00446F48" w:rsidRDefault="00016607" w:rsidP="00B53E5C">
      <w:pPr>
        <w:spacing w:after="0"/>
        <w:jc w:val="both"/>
        <w:rPr>
          <w:b/>
          <w:i/>
          <w:sz w:val="26"/>
          <w:szCs w:val="26"/>
          <w:lang w:val="ro-RO"/>
        </w:rPr>
      </w:pPr>
    </w:p>
    <w:p w14:paraId="4A3185DF" w14:textId="77777777" w:rsidR="00B53E5C" w:rsidRPr="00446F48" w:rsidRDefault="00016607" w:rsidP="0032346F">
      <w:pPr>
        <w:spacing w:after="0"/>
        <w:jc w:val="both"/>
        <w:rPr>
          <w:b/>
          <w:i/>
          <w:sz w:val="26"/>
          <w:szCs w:val="26"/>
          <w:lang w:val="ro-RO"/>
        </w:rPr>
      </w:pPr>
      <w:r w:rsidRPr="00446F48">
        <w:rPr>
          <w:b/>
          <w:i/>
          <w:sz w:val="26"/>
          <w:szCs w:val="26"/>
          <w:lang w:val="ro-RO"/>
        </w:rPr>
        <w:t xml:space="preserve">Dreptul </w:t>
      </w:r>
      <w:r w:rsidR="00446F48" w:rsidRPr="00446F48">
        <w:rPr>
          <w:b/>
          <w:i/>
          <w:sz w:val="26"/>
          <w:szCs w:val="26"/>
          <w:lang w:val="ro-RO"/>
        </w:rPr>
        <w:t xml:space="preserve">Uniunii Europene </w:t>
      </w:r>
    </w:p>
    <w:p w14:paraId="68E9A954" w14:textId="77777777" w:rsidR="00870748" w:rsidRPr="00446F48" w:rsidRDefault="00870748" w:rsidP="00B53E5C">
      <w:pPr>
        <w:spacing w:after="0"/>
        <w:jc w:val="both"/>
        <w:rPr>
          <w:b/>
          <w:sz w:val="26"/>
          <w:szCs w:val="26"/>
          <w:lang w:val="ro-RO"/>
        </w:rPr>
      </w:pPr>
    </w:p>
    <w:p w14:paraId="6711FC3E" w14:textId="77777777" w:rsidR="00870748" w:rsidRPr="00446F48" w:rsidRDefault="00016607" w:rsidP="00FF6561">
      <w:pPr>
        <w:spacing w:after="0"/>
        <w:jc w:val="both"/>
        <w:rPr>
          <w:b/>
          <w:i/>
          <w:sz w:val="26"/>
          <w:szCs w:val="26"/>
          <w:u w:val="single"/>
          <w:lang w:val="ro-RO"/>
        </w:rPr>
      </w:pPr>
      <w:r w:rsidRPr="00446F48">
        <w:rPr>
          <w:b/>
          <w:i/>
          <w:sz w:val="26"/>
          <w:szCs w:val="26"/>
          <w:u w:val="single"/>
          <w:lang w:val="ro-RO"/>
        </w:rPr>
        <w:t>Spe</w:t>
      </w:r>
      <w:r w:rsidR="00446F48">
        <w:rPr>
          <w:b/>
          <w:i/>
          <w:sz w:val="26"/>
          <w:szCs w:val="26"/>
          <w:u w:val="single"/>
          <w:lang w:val="ro-RO"/>
        </w:rPr>
        <w:t>ț</w:t>
      </w:r>
      <w:r w:rsidRPr="00446F48">
        <w:rPr>
          <w:b/>
          <w:i/>
          <w:sz w:val="26"/>
          <w:szCs w:val="26"/>
          <w:u w:val="single"/>
          <w:lang w:val="ro-RO"/>
        </w:rPr>
        <w:t>a 1</w:t>
      </w:r>
      <w:r w:rsidR="00FF6561" w:rsidRPr="00446F48">
        <w:rPr>
          <w:b/>
          <w:i/>
          <w:sz w:val="26"/>
          <w:szCs w:val="26"/>
          <w:u w:val="single"/>
          <w:lang w:val="ro-RO"/>
        </w:rPr>
        <w:t xml:space="preserve"> </w:t>
      </w:r>
    </w:p>
    <w:p w14:paraId="3806B29C" w14:textId="77777777" w:rsidR="00BB29CE" w:rsidRPr="00446F48" w:rsidRDefault="00BB29CE" w:rsidP="00BB29CE">
      <w:pPr>
        <w:pStyle w:val="ListParagraph"/>
        <w:spacing w:after="0"/>
        <w:ind w:left="0"/>
        <w:jc w:val="both"/>
        <w:rPr>
          <w:b/>
          <w:sz w:val="26"/>
          <w:szCs w:val="26"/>
          <w:lang w:val="ro-RO"/>
        </w:rPr>
      </w:pPr>
    </w:p>
    <w:p w14:paraId="73FEED93" w14:textId="77777777" w:rsidR="00446F48" w:rsidRPr="00446F48" w:rsidRDefault="00446F48" w:rsidP="00446F48">
      <w:pPr>
        <w:spacing w:after="0"/>
        <w:ind w:firstLine="708"/>
        <w:jc w:val="both"/>
        <w:rPr>
          <w:sz w:val="26"/>
          <w:szCs w:val="26"/>
          <w:lang w:val="ro-RO"/>
        </w:rPr>
      </w:pPr>
      <w:r w:rsidRPr="00446F48">
        <w:rPr>
          <w:sz w:val="26"/>
          <w:szCs w:val="26"/>
          <w:lang w:val="ro-RO"/>
        </w:rPr>
        <w:t>În vara anului 2015, doamna Sibel, resortisant turc, căsătorită cu un cetă</w:t>
      </w:r>
      <w:r>
        <w:rPr>
          <w:sz w:val="26"/>
          <w:szCs w:val="26"/>
          <w:lang w:val="ro-RO"/>
        </w:rPr>
        <w:t>ț</w:t>
      </w:r>
      <w:r w:rsidRPr="00446F48">
        <w:rPr>
          <w:sz w:val="26"/>
          <w:szCs w:val="26"/>
          <w:lang w:val="ro-RO"/>
        </w:rPr>
        <w:t>ean suedez, a dorit să-</w:t>
      </w:r>
      <w:r>
        <w:rPr>
          <w:sz w:val="26"/>
          <w:szCs w:val="26"/>
          <w:lang w:val="ro-RO"/>
        </w:rPr>
        <w:t>ș</w:t>
      </w:r>
      <w:r w:rsidRPr="00446F48">
        <w:rPr>
          <w:sz w:val="26"/>
          <w:szCs w:val="26"/>
          <w:lang w:val="ro-RO"/>
        </w:rPr>
        <w:t>i viziteze tatăl vitreg care locuia în Berlin (Germania). Autorită</w:t>
      </w:r>
      <w:r>
        <w:rPr>
          <w:sz w:val="26"/>
          <w:szCs w:val="26"/>
          <w:lang w:val="ro-RO"/>
        </w:rPr>
        <w:t>ț</w:t>
      </w:r>
      <w:r w:rsidRPr="00446F48">
        <w:rPr>
          <w:sz w:val="26"/>
          <w:szCs w:val="26"/>
          <w:lang w:val="ro-RO"/>
        </w:rPr>
        <w:t>ile competente din Germania i-au interzis accesul pe teritoriul acestui stat, pe motiv că nu îndeplinea cerin</w:t>
      </w:r>
      <w:r>
        <w:rPr>
          <w:sz w:val="26"/>
          <w:szCs w:val="26"/>
          <w:lang w:val="ro-RO"/>
        </w:rPr>
        <w:t>ț</w:t>
      </w:r>
      <w:r w:rsidRPr="00446F48">
        <w:rPr>
          <w:sz w:val="26"/>
          <w:szCs w:val="26"/>
          <w:lang w:val="ro-RO"/>
        </w:rPr>
        <w:t>ele legale (existen</w:t>
      </w:r>
      <w:r>
        <w:rPr>
          <w:sz w:val="26"/>
          <w:szCs w:val="26"/>
          <w:lang w:val="ro-RO"/>
        </w:rPr>
        <w:t>ț</w:t>
      </w:r>
      <w:r w:rsidRPr="00446F48">
        <w:rPr>
          <w:sz w:val="26"/>
          <w:szCs w:val="26"/>
          <w:lang w:val="ro-RO"/>
        </w:rPr>
        <w:t>a unei autoriza</w:t>
      </w:r>
      <w:r>
        <w:rPr>
          <w:sz w:val="26"/>
          <w:szCs w:val="26"/>
          <w:lang w:val="ro-RO"/>
        </w:rPr>
        <w:t>ț</w:t>
      </w:r>
      <w:r w:rsidRPr="00446F48">
        <w:rPr>
          <w:sz w:val="26"/>
          <w:szCs w:val="26"/>
          <w:lang w:val="ro-RO"/>
        </w:rPr>
        <w:t xml:space="preserve">ii de </w:t>
      </w:r>
      <w:r>
        <w:rPr>
          <w:sz w:val="26"/>
          <w:szCs w:val="26"/>
          <w:lang w:val="ro-RO"/>
        </w:rPr>
        <w:t>ș</w:t>
      </w:r>
      <w:r w:rsidRPr="00446F48">
        <w:rPr>
          <w:sz w:val="26"/>
          <w:szCs w:val="26"/>
          <w:lang w:val="ro-RO"/>
        </w:rPr>
        <w:t xml:space="preserve">edere, de tipul unei vize). </w:t>
      </w:r>
    </w:p>
    <w:p w14:paraId="15ED179E" w14:textId="77777777" w:rsidR="00446F48" w:rsidRPr="00446F48" w:rsidRDefault="00446F48" w:rsidP="00446F48">
      <w:pPr>
        <w:spacing w:after="0"/>
        <w:ind w:firstLine="708"/>
        <w:jc w:val="both"/>
        <w:rPr>
          <w:sz w:val="26"/>
          <w:szCs w:val="26"/>
          <w:lang w:val="ro-RO"/>
        </w:rPr>
      </w:pPr>
      <w:r w:rsidRPr="00446F48">
        <w:rPr>
          <w:sz w:val="26"/>
          <w:szCs w:val="26"/>
          <w:lang w:val="ro-RO"/>
        </w:rPr>
        <w:t>Drept urmare, Sibel a formulat o ac</w:t>
      </w:r>
      <w:r>
        <w:rPr>
          <w:sz w:val="26"/>
          <w:szCs w:val="26"/>
          <w:lang w:val="ro-RO"/>
        </w:rPr>
        <w:t>ț</w:t>
      </w:r>
      <w:r w:rsidRPr="00446F48">
        <w:rPr>
          <w:sz w:val="26"/>
          <w:szCs w:val="26"/>
          <w:lang w:val="ro-RO"/>
        </w:rPr>
        <w:t>iune în fa</w:t>
      </w:r>
      <w:r>
        <w:rPr>
          <w:sz w:val="26"/>
          <w:szCs w:val="26"/>
          <w:lang w:val="ro-RO"/>
        </w:rPr>
        <w:t>ț</w:t>
      </w:r>
      <w:r w:rsidRPr="00446F48">
        <w:rPr>
          <w:sz w:val="26"/>
          <w:szCs w:val="26"/>
          <w:lang w:val="ro-RO"/>
        </w:rPr>
        <w:t>a instan</w:t>
      </w:r>
      <w:r>
        <w:rPr>
          <w:sz w:val="26"/>
          <w:szCs w:val="26"/>
          <w:lang w:val="ro-RO"/>
        </w:rPr>
        <w:t>ț</w:t>
      </w:r>
      <w:r w:rsidRPr="00446F48">
        <w:rPr>
          <w:sz w:val="26"/>
          <w:szCs w:val="26"/>
          <w:lang w:val="ro-RO"/>
        </w:rPr>
        <w:t>ei competente (Tribunalul Administrativ Berlin), solicitând constatarea faptului că nu trebuie să i se aplice legisla</w:t>
      </w:r>
      <w:r>
        <w:rPr>
          <w:sz w:val="26"/>
          <w:szCs w:val="26"/>
          <w:lang w:val="ro-RO"/>
        </w:rPr>
        <w:t>ț</w:t>
      </w:r>
      <w:r w:rsidRPr="00446F48">
        <w:rPr>
          <w:sz w:val="26"/>
          <w:szCs w:val="26"/>
          <w:lang w:val="ro-RO"/>
        </w:rPr>
        <w:t>ia specifică resortisan</w:t>
      </w:r>
      <w:r>
        <w:rPr>
          <w:sz w:val="26"/>
          <w:szCs w:val="26"/>
          <w:lang w:val="ro-RO"/>
        </w:rPr>
        <w:t>ț</w:t>
      </w:r>
      <w:r w:rsidRPr="00446F48">
        <w:rPr>
          <w:sz w:val="26"/>
          <w:szCs w:val="26"/>
          <w:lang w:val="ro-RO"/>
        </w:rPr>
        <w:t>ilor turci, în general, ci legisla</w:t>
      </w:r>
      <w:r>
        <w:rPr>
          <w:sz w:val="26"/>
          <w:szCs w:val="26"/>
          <w:lang w:val="ro-RO"/>
        </w:rPr>
        <w:t>ț</w:t>
      </w:r>
      <w:r w:rsidRPr="00446F48">
        <w:rPr>
          <w:sz w:val="26"/>
          <w:szCs w:val="26"/>
          <w:lang w:val="ro-RO"/>
        </w:rPr>
        <w:t>ia care guvernează libera circula</w:t>
      </w:r>
      <w:r>
        <w:rPr>
          <w:sz w:val="26"/>
          <w:szCs w:val="26"/>
          <w:lang w:val="ro-RO"/>
        </w:rPr>
        <w:t>ț</w:t>
      </w:r>
      <w:r w:rsidRPr="00446F48">
        <w:rPr>
          <w:sz w:val="26"/>
          <w:szCs w:val="26"/>
          <w:lang w:val="ro-RO"/>
        </w:rPr>
        <w:t>ie a persoanelor în spa</w:t>
      </w:r>
      <w:r>
        <w:rPr>
          <w:sz w:val="26"/>
          <w:szCs w:val="26"/>
          <w:lang w:val="ro-RO"/>
        </w:rPr>
        <w:t>ț</w:t>
      </w:r>
      <w:r w:rsidRPr="00446F48">
        <w:rPr>
          <w:sz w:val="26"/>
          <w:szCs w:val="26"/>
          <w:lang w:val="ro-RO"/>
        </w:rPr>
        <w:t xml:space="preserve">iul UE. Mai mult, reclamanta </w:t>
      </w:r>
      <w:r>
        <w:rPr>
          <w:sz w:val="26"/>
          <w:szCs w:val="26"/>
          <w:lang w:val="ro-RO"/>
        </w:rPr>
        <w:t>ș</w:t>
      </w:r>
      <w:r w:rsidRPr="00446F48">
        <w:rPr>
          <w:sz w:val="26"/>
          <w:szCs w:val="26"/>
          <w:lang w:val="ro-RO"/>
        </w:rPr>
        <w:t>i-a motivat solicitarea invocând dreptul german care nu impunea viză resortisan</w:t>
      </w:r>
      <w:r>
        <w:rPr>
          <w:sz w:val="26"/>
          <w:szCs w:val="26"/>
          <w:lang w:val="ro-RO"/>
        </w:rPr>
        <w:t>ț</w:t>
      </w:r>
      <w:r w:rsidRPr="00446F48">
        <w:rPr>
          <w:sz w:val="26"/>
          <w:szCs w:val="26"/>
          <w:lang w:val="ro-RO"/>
        </w:rPr>
        <w:t>ilor turci (în temeiul unui Protocol adi</w:t>
      </w:r>
      <w:r>
        <w:rPr>
          <w:sz w:val="26"/>
          <w:szCs w:val="26"/>
          <w:lang w:val="ro-RO"/>
        </w:rPr>
        <w:t>ț</w:t>
      </w:r>
      <w:r w:rsidRPr="00446F48">
        <w:rPr>
          <w:sz w:val="26"/>
          <w:szCs w:val="26"/>
          <w:lang w:val="ro-RO"/>
        </w:rPr>
        <w:t xml:space="preserve">ional din anul 1970). Aceasta a adăugat </w:t>
      </w:r>
      <w:r>
        <w:rPr>
          <w:sz w:val="26"/>
          <w:szCs w:val="26"/>
          <w:lang w:val="ro-RO"/>
        </w:rPr>
        <w:t>ș</w:t>
      </w:r>
      <w:r w:rsidRPr="00446F48">
        <w:rPr>
          <w:sz w:val="26"/>
          <w:szCs w:val="26"/>
          <w:lang w:val="ro-RO"/>
        </w:rPr>
        <w:t>i că, între cele două state, există un Acord de asociere (1963) care con</w:t>
      </w:r>
      <w:r>
        <w:rPr>
          <w:sz w:val="26"/>
          <w:szCs w:val="26"/>
          <w:lang w:val="ro-RO"/>
        </w:rPr>
        <w:t>ț</w:t>
      </w:r>
      <w:r w:rsidRPr="00446F48">
        <w:rPr>
          <w:sz w:val="26"/>
          <w:szCs w:val="26"/>
          <w:lang w:val="ro-RO"/>
        </w:rPr>
        <w:t>ine o clauză ce interzice stabilirea unor noi restric</w:t>
      </w:r>
      <w:r>
        <w:rPr>
          <w:sz w:val="26"/>
          <w:szCs w:val="26"/>
          <w:lang w:val="ro-RO"/>
        </w:rPr>
        <w:t>ț</w:t>
      </w:r>
      <w:r w:rsidRPr="00446F48">
        <w:rPr>
          <w:sz w:val="26"/>
          <w:szCs w:val="26"/>
          <w:lang w:val="ro-RO"/>
        </w:rPr>
        <w:t>ii privind libera circula</w:t>
      </w:r>
      <w:r>
        <w:rPr>
          <w:sz w:val="26"/>
          <w:szCs w:val="26"/>
          <w:lang w:val="ro-RO"/>
        </w:rPr>
        <w:t>ț</w:t>
      </w:r>
      <w:r w:rsidRPr="00446F48">
        <w:rPr>
          <w:sz w:val="26"/>
          <w:szCs w:val="26"/>
          <w:lang w:val="ro-RO"/>
        </w:rPr>
        <w:t xml:space="preserve">ie. </w:t>
      </w:r>
    </w:p>
    <w:p w14:paraId="43AFBB93" w14:textId="77777777" w:rsidR="00446F48" w:rsidRPr="00446F48" w:rsidRDefault="00446F48" w:rsidP="00446F48">
      <w:pPr>
        <w:spacing w:after="0"/>
        <w:ind w:firstLine="708"/>
        <w:jc w:val="both"/>
        <w:rPr>
          <w:sz w:val="26"/>
          <w:szCs w:val="26"/>
          <w:lang w:val="ro-RO"/>
        </w:rPr>
      </w:pPr>
      <w:r w:rsidRPr="00446F48">
        <w:rPr>
          <w:sz w:val="26"/>
          <w:szCs w:val="26"/>
          <w:lang w:val="ro-RO"/>
        </w:rPr>
        <w:t>Potrivit instan</w:t>
      </w:r>
      <w:r>
        <w:rPr>
          <w:sz w:val="26"/>
          <w:szCs w:val="26"/>
          <w:lang w:val="ro-RO"/>
        </w:rPr>
        <w:t>ț</w:t>
      </w:r>
      <w:r w:rsidRPr="00446F48">
        <w:rPr>
          <w:sz w:val="26"/>
          <w:szCs w:val="26"/>
          <w:lang w:val="ro-RO"/>
        </w:rPr>
        <w:t>ei, Sibel nu poate invoca respectiva clauză, întrucât aceasta nu este aplicabilă în privin</w:t>
      </w:r>
      <w:r>
        <w:rPr>
          <w:sz w:val="26"/>
          <w:szCs w:val="26"/>
          <w:lang w:val="ro-RO"/>
        </w:rPr>
        <w:t>ț</w:t>
      </w:r>
      <w:r w:rsidRPr="00446F48">
        <w:rPr>
          <w:sz w:val="26"/>
          <w:szCs w:val="26"/>
          <w:lang w:val="ro-RO"/>
        </w:rPr>
        <w:t>a unei autoriza</w:t>
      </w:r>
      <w:r>
        <w:rPr>
          <w:sz w:val="26"/>
          <w:szCs w:val="26"/>
          <w:lang w:val="ro-RO"/>
        </w:rPr>
        <w:t>ț</w:t>
      </w:r>
      <w:r w:rsidRPr="00446F48">
        <w:rPr>
          <w:sz w:val="26"/>
          <w:szCs w:val="26"/>
          <w:lang w:val="ro-RO"/>
        </w:rPr>
        <w:t xml:space="preserve">ii de </w:t>
      </w:r>
      <w:r>
        <w:rPr>
          <w:sz w:val="26"/>
          <w:szCs w:val="26"/>
          <w:lang w:val="ro-RO"/>
        </w:rPr>
        <w:t>ș</w:t>
      </w:r>
      <w:r w:rsidRPr="00446F48">
        <w:rPr>
          <w:sz w:val="26"/>
          <w:szCs w:val="26"/>
          <w:lang w:val="ro-RO"/>
        </w:rPr>
        <w:t>edere solicitată în vederea efectuării unei vizite având caracter familial, clauza neconsacrând, în favoarea resortisan</w:t>
      </w:r>
      <w:r>
        <w:rPr>
          <w:sz w:val="26"/>
          <w:szCs w:val="26"/>
          <w:lang w:val="ro-RO"/>
        </w:rPr>
        <w:t>ț</w:t>
      </w:r>
      <w:r w:rsidRPr="00446F48">
        <w:rPr>
          <w:sz w:val="26"/>
          <w:szCs w:val="26"/>
          <w:lang w:val="ro-RO"/>
        </w:rPr>
        <w:t>ilor turci, o libertate de circula</w:t>
      </w:r>
      <w:r>
        <w:rPr>
          <w:sz w:val="26"/>
          <w:szCs w:val="26"/>
          <w:lang w:val="ro-RO"/>
        </w:rPr>
        <w:t>ț</w:t>
      </w:r>
      <w:r w:rsidRPr="00446F48">
        <w:rPr>
          <w:sz w:val="26"/>
          <w:szCs w:val="26"/>
          <w:lang w:val="ro-RO"/>
        </w:rPr>
        <w:t>ie generală.</w:t>
      </w:r>
    </w:p>
    <w:p w14:paraId="47BBD290" w14:textId="77777777" w:rsidR="00446F48" w:rsidRDefault="00446F48" w:rsidP="00446F48">
      <w:pPr>
        <w:spacing w:after="0"/>
        <w:ind w:firstLine="708"/>
        <w:jc w:val="both"/>
        <w:rPr>
          <w:sz w:val="26"/>
          <w:szCs w:val="26"/>
          <w:lang w:val="ro-RO"/>
        </w:rPr>
      </w:pPr>
    </w:p>
    <w:p w14:paraId="0B89C831" w14:textId="77777777" w:rsidR="00446F48" w:rsidRPr="00446F48" w:rsidRDefault="00446F48" w:rsidP="00446F48">
      <w:pPr>
        <w:spacing w:after="0"/>
        <w:ind w:firstLine="708"/>
        <w:jc w:val="both"/>
        <w:rPr>
          <w:sz w:val="26"/>
          <w:szCs w:val="26"/>
          <w:lang w:val="ro-RO"/>
        </w:rPr>
      </w:pPr>
      <w:r w:rsidRPr="00446F48">
        <w:rPr>
          <w:sz w:val="26"/>
          <w:szCs w:val="26"/>
          <w:lang w:val="ro-RO"/>
        </w:rPr>
        <w:t>În calitate de avocat stagiar sunte</w:t>
      </w:r>
      <w:r>
        <w:rPr>
          <w:sz w:val="26"/>
          <w:szCs w:val="26"/>
          <w:lang w:val="ro-RO"/>
        </w:rPr>
        <w:t>ț</w:t>
      </w:r>
      <w:r w:rsidRPr="00446F48">
        <w:rPr>
          <w:sz w:val="26"/>
          <w:szCs w:val="26"/>
          <w:lang w:val="ro-RO"/>
        </w:rPr>
        <w:t>i contactat să acorda</w:t>
      </w:r>
      <w:r>
        <w:rPr>
          <w:sz w:val="26"/>
          <w:szCs w:val="26"/>
          <w:lang w:val="ro-RO"/>
        </w:rPr>
        <w:t>ț</w:t>
      </w:r>
      <w:r w:rsidRPr="00446F48">
        <w:rPr>
          <w:sz w:val="26"/>
          <w:szCs w:val="26"/>
          <w:lang w:val="ro-RO"/>
        </w:rPr>
        <w:t>i asisten</w:t>
      </w:r>
      <w:r>
        <w:rPr>
          <w:sz w:val="26"/>
          <w:szCs w:val="26"/>
          <w:lang w:val="ro-RO"/>
        </w:rPr>
        <w:t>ț</w:t>
      </w:r>
      <w:r w:rsidRPr="00446F48">
        <w:rPr>
          <w:sz w:val="26"/>
          <w:szCs w:val="26"/>
          <w:lang w:val="ro-RO"/>
        </w:rPr>
        <w:t>ă juridică doamnei Sibel răspunzând, în principal, la următoarele întrebări:</w:t>
      </w:r>
    </w:p>
    <w:p w14:paraId="3FD1A62A" w14:textId="77777777" w:rsidR="00446F48" w:rsidRDefault="00446F48" w:rsidP="00446F48">
      <w:pPr>
        <w:spacing w:after="0"/>
        <w:ind w:firstLine="708"/>
        <w:jc w:val="both"/>
        <w:rPr>
          <w:i/>
          <w:sz w:val="26"/>
          <w:szCs w:val="26"/>
          <w:lang w:val="ro-RO"/>
        </w:rPr>
      </w:pPr>
    </w:p>
    <w:p w14:paraId="68E07318" w14:textId="77777777" w:rsidR="00446F48" w:rsidRDefault="00446F48" w:rsidP="00446F48">
      <w:pPr>
        <w:spacing w:after="0"/>
        <w:ind w:firstLine="708"/>
        <w:jc w:val="both"/>
        <w:rPr>
          <w:b/>
          <w:i/>
          <w:sz w:val="26"/>
          <w:szCs w:val="26"/>
          <w:lang w:val="ro-RO"/>
        </w:rPr>
      </w:pPr>
      <w:r>
        <w:rPr>
          <w:b/>
          <w:i/>
          <w:sz w:val="26"/>
          <w:szCs w:val="26"/>
          <w:lang w:val="ro-RO"/>
        </w:rPr>
        <w:t>Lucrarea profesională nr. 1</w:t>
      </w:r>
    </w:p>
    <w:p w14:paraId="05AC57C2" w14:textId="77777777" w:rsidR="00446F48" w:rsidRPr="00446F48" w:rsidRDefault="00446F48" w:rsidP="00446F48">
      <w:pPr>
        <w:spacing w:after="0"/>
        <w:ind w:firstLine="708"/>
        <w:jc w:val="both"/>
        <w:rPr>
          <w:sz w:val="26"/>
          <w:szCs w:val="26"/>
          <w:lang w:val="ro-RO"/>
        </w:rPr>
      </w:pPr>
      <w:r w:rsidRPr="00446F48">
        <w:rPr>
          <w:sz w:val="26"/>
          <w:szCs w:val="26"/>
          <w:lang w:val="ro-RO"/>
        </w:rPr>
        <w:t>Doamna Sibel poate fi încadrată în una dintre categoriile de beneficiari ai aplicării principiului liberei circulații a persoanelor în UE? Argumentați răspunsul având în vedere legislația, jurisprudența și doctrina domeniului.</w:t>
      </w:r>
    </w:p>
    <w:p w14:paraId="3FAF6081" w14:textId="77777777" w:rsidR="00446F48" w:rsidRDefault="00446F48" w:rsidP="00446F48">
      <w:pPr>
        <w:spacing w:after="0"/>
        <w:ind w:firstLine="708"/>
        <w:jc w:val="both"/>
        <w:rPr>
          <w:i/>
          <w:sz w:val="26"/>
          <w:szCs w:val="26"/>
          <w:lang w:val="ro-RO"/>
        </w:rPr>
      </w:pPr>
    </w:p>
    <w:p w14:paraId="46160317" w14:textId="77777777" w:rsidR="00446F48" w:rsidRDefault="00446F48" w:rsidP="00446F48">
      <w:pPr>
        <w:spacing w:after="0"/>
        <w:ind w:firstLine="708"/>
        <w:jc w:val="both"/>
        <w:rPr>
          <w:b/>
          <w:i/>
          <w:sz w:val="26"/>
          <w:szCs w:val="26"/>
          <w:lang w:val="ro-RO"/>
        </w:rPr>
      </w:pPr>
      <w:r>
        <w:rPr>
          <w:b/>
          <w:i/>
          <w:sz w:val="26"/>
          <w:szCs w:val="26"/>
          <w:lang w:val="ro-RO"/>
        </w:rPr>
        <w:t>Lucrarea profesională nr. 2</w:t>
      </w:r>
    </w:p>
    <w:p w14:paraId="5581551B" w14:textId="77777777" w:rsidR="00446F48" w:rsidRPr="00446F48" w:rsidRDefault="00446F48" w:rsidP="00446F48">
      <w:pPr>
        <w:spacing w:after="0"/>
        <w:ind w:firstLine="708"/>
        <w:jc w:val="both"/>
        <w:rPr>
          <w:sz w:val="26"/>
          <w:szCs w:val="26"/>
          <w:lang w:val="ro-RO"/>
        </w:rPr>
      </w:pPr>
      <w:r w:rsidRPr="00446F48">
        <w:rPr>
          <w:sz w:val="26"/>
          <w:szCs w:val="26"/>
          <w:lang w:val="ro-RO"/>
        </w:rPr>
        <w:t>În opinia dvs., soluția instanței germane respectă legislația Uniunii Europene în materie? Argumentați răspunsul având în vedere legislația, jurisprudența și doctrina domeniului.</w:t>
      </w:r>
    </w:p>
    <w:p w14:paraId="5DAADF26" w14:textId="77777777" w:rsidR="00446F48" w:rsidRPr="00446F48" w:rsidRDefault="00446F48" w:rsidP="00446F48">
      <w:pPr>
        <w:spacing w:after="0"/>
        <w:ind w:firstLine="708"/>
        <w:jc w:val="both"/>
        <w:rPr>
          <w:b/>
          <w:i/>
          <w:sz w:val="26"/>
          <w:szCs w:val="26"/>
          <w:u w:val="single"/>
          <w:lang w:val="ro-RO"/>
        </w:rPr>
      </w:pPr>
      <w:r>
        <w:rPr>
          <w:b/>
          <w:i/>
          <w:sz w:val="26"/>
          <w:szCs w:val="26"/>
          <w:u w:val="single"/>
          <w:lang w:val="ro-RO"/>
        </w:rPr>
        <w:lastRenderedPageBreak/>
        <w:t>Speța 2</w:t>
      </w:r>
    </w:p>
    <w:p w14:paraId="7F3F95AF" w14:textId="77777777" w:rsidR="00446F48" w:rsidRDefault="00446F48" w:rsidP="00446F48">
      <w:pPr>
        <w:spacing w:after="0"/>
        <w:ind w:firstLine="708"/>
        <w:jc w:val="both"/>
        <w:rPr>
          <w:sz w:val="26"/>
          <w:szCs w:val="26"/>
          <w:lang w:val="ro-RO"/>
        </w:rPr>
      </w:pPr>
    </w:p>
    <w:p w14:paraId="455E5575" w14:textId="77777777" w:rsidR="00446F48" w:rsidRPr="00446F48" w:rsidRDefault="00446F48" w:rsidP="00446F48">
      <w:pPr>
        <w:spacing w:after="0"/>
        <w:ind w:firstLine="708"/>
        <w:jc w:val="both"/>
        <w:rPr>
          <w:sz w:val="26"/>
          <w:szCs w:val="26"/>
          <w:lang w:val="ro-RO"/>
        </w:rPr>
      </w:pPr>
      <w:r w:rsidRPr="00446F48">
        <w:rPr>
          <w:sz w:val="26"/>
          <w:szCs w:val="26"/>
          <w:lang w:val="ro-RO"/>
        </w:rPr>
        <w:t>La 20 aprilie 2015, Parlamentul European și Consiliul au adoptat un Regulament privind ameliorarea bunăstării animalelor. Între altele, Regulamentul conține, inclusiv, prevederi referitoare la condițiile de transport al animalelor, prevederi care se aplică diferențiat în funcție de distincția realizată între animalele de companie, pe de o parte și animalele destinate sacrificării, pe de altă parte. Astfel, animalele din prima categorie trebuie să fie transportate în condiții optime de temperatură, hidratare, alimentație, în timp ce pentru cea de-a doua categorie condițiile se rezumă numai la respectarea normelor sanitare.</w:t>
      </w:r>
    </w:p>
    <w:p w14:paraId="4F013F25" w14:textId="77777777" w:rsidR="00446F48" w:rsidRPr="00446F48" w:rsidRDefault="00446F48" w:rsidP="00446F48">
      <w:pPr>
        <w:spacing w:after="0"/>
        <w:ind w:firstLine="708"/>
        <w:jc w:val="both"/>
        <w:rPr>
          <w:sz w:val="26"/>
          <w:szCs w:val="26"/>
          <w:lang w:val="ro-RO"/>
        </w:rPr>
      </w:pPr>
      <w:r w:rsidRPr="00446F48">
        <w:rPr>
          <w:sz w:val="26"/>
          <w:szCs w:val="26"/>
          <w:lang w:val="ro-RO"/>
        </w:rPr>
        <w:t>Asociația „Happy Zoo”, care apără drepturile animalelor, dorește să conteste Regulamentul, pe motiv că, prin prevederile sale, acesta instituie o discriminare între animalele de companie și animalele destinate sacrificării. Potrivit convingerilor membrilor Asociației, toate animalele sunt egale în drepturi şi trebuie tratatele la fel.</w:t>
      </w:r>
    </w:p>
    <w:p w14:paraId="7DE05FE1" w14:textId="77777777" w:rsidR="00446F48" w:rsidRPr="00446F48" w:rsidRDefault="00446F48" w:rsidP="00446F48">
      <w:pPr>
        <w:spacing w:after="0"/>
        <w:ind w:firstLine="708"/>
        <w:jc w:val="both"/>
        <w:rPr>
          <w:sz w:val="26"/>
          <w:szCs w:val="26"/>
          <w:lang w:val="ro-RO"/>
        </w:rPr>
      </w:pPr>
      <w:r w:rsidRPr="00446F48">
        <w:rPr>
          <w:sz w:val="26"/>
          <w:szCs w:val="26"/>
          <w:lang w:val="ro-RO"/>
        </w:rPr>
        <w:t>Asociația „Happy Zoo”, prin reprezentantul său legal, vă contactează dorind ca, în calitatea dvs. de avocat (stagiar), să-i răspundeți la următoarea întrebare:</w:t>
      </w:r>
    </w:p>
    <w:p w14:paraId="23CB3B18" w14:textId="77777777" w:rsidR="00446F48" w:rsidRPr="00446F48" w:rsidRDefault="00446F48" w:rsidP="00446F48">
      <w:pPr>
        <w:spacing w:after="0"/>
        <w:ind w:firstLine="708"/>
        <w:jc w:val="both"/>
        <w:rPr>
          <w:sz w:val="26"/>
          <w:szCs w:val="26"/>
          <w:lang w:val="ro-RO"/>
        </w:rPr>
      </w:pPr>
    </w:p>
    <w:p w14:paraId="46A6C10A" w14:textId="77777777" w:rsidR="00446F48" w:rsidRDefault="00446F48" w:rsidP="00446F48">
      <w:pPr>
        <w:spacing w:after="0"/>
        <w:ind w:firstLine="708"/>
        <w:jc w:val="both"/>
        <w:rPr>
          <w:sz w:val="26"/>
          <w:szCs w:val="26"/>
          <w:lang w:val="ro-RO"/>
        </w:rPr>
      </w:pPr>
      <w:r>
        <w:rPr>
          <w:b/>
          <w:i/>
          <w:sz w:val="26"/>
          <w:szCs w:val="26"/>
          <w:lang w:val="ro-RO"/>
        </w:rPr>
        <w:t>Lucrarea profesională nr. 3</w:t>
      </w:r>
      <w:r w:rsidRPr="00446F48">
        <w:rPr>
          <w:sz w:val="26"/>
          <w:szCs w:val="26"/>
          <w:lang w:val="ro-RO"/>
        </w:rPr>
        <w:t xml:space="preserve"> </w:t>
      </w:r>
    </w:p>
    <w:p w14:paraId="064874C1" w14:textId="77777777" w:rsidR="00446F48" w:rsidRPr="00446F48" w:rsidRDefault="00446F48" w:rsidP="00446F48">
      <w:pPr>
        <w:spacing w:after="0"/>
        <w:ind w:firstLine="708"/>
        <w:jc w:val="both"/>
        <w:rPr>
          <w:sz w:val="26"/>
          <w:szCs w:val="26"/>
          <w:lang w:val="ro-RO"/>
        </w:rPr>
      </w:pPr>
      <w:r w:rsidRPr="00446F48">
        <w:rPr>
          <w:sz w:val="26"/>
          <w:szCs w:val="26"/>
          <w:lang w:val="ro-RO"/>
        </w:rPr>
        <w:t>În cadrul cărei acțiuni şi în ce condiţii Asociația „Happy Zoo” poate avea calitate procesuală activă. Argumentați răspunsul având în vedere legislația, jurisprudența şi doctrina domeniului.</w:t>
      </w:r>
    </w:p>
    <w:p w14:paraId="24B3B49B" w14:textId="77777777" w:rsidR="00446F48" w:rsidRPr="00446F48" w:rsidRDefault="00446F48" w:rsidP="00446F48">
      <w:pPr>
        <w:spacing w:after="0"/>
        <w:ind w:firstLine="708"/>
        <w:jc w:val="both"/>
        <w:rPr>
          <w:sz w:val="26"/>
          <w:szCs w:val="26"/>
          <w:lang w:val="ro-RO"/>
        </w:rPr>
      </w:pPr>
    </w:p>
    <w:p w14:paraId="1D246365" w14:textId="77777777" w:rsidR="00446F48" w:rsidRPr="00446F48" w:rsidRDefault="00446F48" w:rsidP="00446F48">
      <w:pPr>
        <w:spacing w:after="0"/>
        <w:ind w:firstLine="708"/>
        <w:jc w:val="both"/>
        <w:rPr>
          <w:sz w:val="26"/>
          <w:szCs w:val="26"/>
          <w:lang w:val="ro-RO"/>
        </w:rPr>
      </w:pPr>
    </w:p>
    <w:p w14:paraId="1805DF4D" w14:textId="77777777" w:rsidR="00446F48" w:rsidRPr="00446F48" w:rsidRDefault="00446F48" w:rsidP="00446F48">
      <w:pPr>
        <w:spacing w:after="0"/>
        <w:ind w:firstLine="708"/>
        <w:jc w:val="both"/>
        <w:rPr>
          <w:sz w:val="26"/>
          <w:szCs w:val="26"/>
          <w:lang w:val="ro-RO"/>
        </w:rPr>
      </w:pPr>
      <w:r w:rsidRPr="00446F48">
        <w:rPr>
          <w:sz w:val="26"/>
          <w:szCs w:val="26"/>
          <w:lang w:val="ro-RO"/>
        </w:rPr>
        <w:t>Precizări:</w:t>
      </w:r>
    </w:p>
    <w:p w14:paraId="34545CFF" w14:textId="77777777" w:rsidR="00446F48" w:rsidRPr="00446F48" w:rsidRDefault="00446F48" w:rsidP="00446F48">
      <w:pPr>
        <w:spacing w:after="0"/>
        <w:ind w:firstLine="708"/>
        <w:jc w:val="both"/>
        <w:rPr>
          <w:sz w:val="26"/>
          <w:szCs w:val="26"/>
          <w:lang w:val="ro-RO"/>
        </w:rPr>
      </w:pPr>
      <w:r w:rsidRPr="00446F48">
        <w:rPr>
          <w:sz w:val="26"/>
          <w:szCs w:val="26"/>
          <w:lang w:val="ro-RO"/>
        </w:rPr>
        <w:t>La evaluarea solu</w:t>
      </w:r>
      <w:r>
        <w:rPr>
          <w:sz w:val="26"/>
          <w:szCs w:val="26"/>
          <w:lang w:val="ro-RO"/>
        </w:rPr>
        <w:t>ț</w:t>
      </w:r>
      <w:r w:rsidRPr="00446F48">
        <w:rPr>
          <w:sz w:val="26"/>
          <w:szCs w:val="26"/>
          <w:lang w:val="ro-RO"/>
        </w:rPr>
        <w:t>iilor vor fi avute în vedere următoarele:</w:t>
      </w:r>
    </w:p>
    <w:p w14:paraId="23807C2E" w14:textId="77777777" w:rsidR="00446F48" w:rsidRPr="00446F48" w:rsidRDefault="00446F48" w:rsidP="00446F48">
      <w:pPr>
        <w:spacing w:after="0"/>
        <w:jc w:val="both"/>
        <w:rPr>
          <w:i/>
          <w:sz w:val="26"/>
          <w:szCs w:val="26"/>
          <w:lang w:val="ro-RO"/>
        </w:rPr>
      </w:pPr>
      <w:r w:rsidRPr="00446F48">
        <w:rPr>
          <w:i/>
          <w:sz w:val="26"/>
          <w:szCs w:val="26"/>
          <w:lang w:val="ro-RO"/>
        </w:rPr>
        <w:tab/>
        <w:t>- sistematizarea motivării juridice;</w:t>
      </w:r>
    </w:p>
    <w:p w14:paraId="1328A683" w14:textId="77777777" w:rsidR="00446F48" w:rsidRPr="00446F48" w:rsidRDefault="00446F48" w:rsidP="00446F48">
      <w:pPr>
        <w:spacing w:after="0"/>
        <w:jc w:val="both"/>
        <w:rPr>
          <w:i/>
          <w:sz w:val="26"/>
          <w:szCs w:val="26"/>
          <w:lang w:val="ro-RO"/>
        </w:rPr>
      </w:pPr>
      <w:r w:rsidRPr="00446F48">
        <w:rPr>
          <w:i/>
          <w:sz w:val="26"/>
          <w:szCs w:val="26"/>
          <w:lang w:val="ro-RO"/>
        </w:rPr>
        <w:tab/>
        <w:t>- temeiul legal;</w:t>
      </w:r>
    </w:p>
    <w:p w14:paraId="1988B31A" w14:textId="77777777" w:rsidR="00446F48" w:rsidRPr="00446F48" w:rsidRDefault="00446F48" w:rsidP="00446F48">
      <w:pPr>
        <w:spacing w:after="0"/>
        <w:jc w:val="both"/>
        <w:rPr>
          <w:i/>
          <w:sz w:val="26"/>
          <w:szCs w:val="26"/>
          <w:lang w:val="ro-RO"/>
        </w:rPr>
      </w:pPr>
      <w:r w:rsidRPr="00446F48">
        <w:rPr>
          <w:i/>
          <w:sz w:val="26"/>
          <w:szCs w:val="26"/>
          <w:lang w:val="ro-RO"/>
        </w:rPr>
        <w:tab/>
        <w:t>- identificarea jurispruden</w:t>
      </w:r>
      <w:r>
        <w:rPr>
          <w:i/>
          <w:sz w:val="26"/>
          <w:szCs w:val="26"/>
          <w:lang w:val="ro-RO"/>
        </w:rPr>
        <w:t>ț</w:t>
      </w:r>
      <w:r w:rsidRPr="00446F48">
        <w:rPr>
          <w:i/>
          <w:sz w:val="26"/>
          <w:szCs w:val="26"/>
          <w:lang w:val="ro-RO"/>
        </w:rPr>
        <w:t>ei relevante pentru domeniu;</w:t>
      </w:r>
    </w:p>
    <w:p w14:paraId="2C4BB92C" w14:textId="77777777" w:rsidR="00446F48" w:rsidRPr="00446F48" w:rsidRDefault="00446F48" w:rsidP="00446F48">
      <w:pPr>
        <w:spacing w:after="0"/>
        <w:jc w:val="both"/>
        <w:rPr>
          <w:i/>
          <w:sz w:val="26"/>
          <w:szCs w:val="26"/>
          <w:lang w:val="ro-RO"/>
        </w:rPr>
      </w:pPr>
      <w:r w:rsidRPr="00446F48">
        <w:rPr>
          <w:i/>
          <w:sz w:val="26"/>
          <w:szCs w:val="26"/>
          <w:lang w:val="ro-RO"/>
        </w:rPr>
        <w:tab/>
        <w:t xml:space="preserve">- identificarea </w:t>
      </w:r>
      <w:r>
        <w:rPr>
          <w:i/>
          <w:sz w:val="26"/>
          <w:szCs w:val="26"/>
          <w:lang w:val="ro-RO"/>
        </w:rPr>
        <w:t>ș</w:t>
      </w:r>
      <w:r w:rsidRPr="00446F48">
        <w:rPr>
          <w:i/>
          <w:sz w:val="26"/>
          <w:szCs w:val="26"/>
          <w:lang w:val="ro-RO"/>
        </w:rPr>
        <w:t>i folosirea corectă a principiilor jurispruden</w:t>
      </w:r>
      <w:r>
        <w:rPr>
          <w:i/>
          <w:sz w:val="26"/>
          <w:szCs w:val="26"/>
          <w:lang w:val="ro-RO"/>
        </w:rPr>
        <w:t>ț</w:t>
      </w:r>
      <w:r w:rsidRPr="00446F48">
        <w:rPr>
          <w:i/>
          <w:sz w:val="26"/>
          <w:szCs w:val="26"/>
          <w:lang w:val="ro-RO"/>
        </w:rPr>
        <w:t>ei Cur</w:t>
      </w:r>
      <w:r>
        <w:rPr>
          <w:i/>
          <w:sz w:val="26"/>
          <w:szCs w:val="26"/>
          <w:lang w:val="ro-RO"/>
        </w:rPr>
        <w:t>ț</w:t>
      </w:r>
      <w:r w:rsidRPr="00446F48">
        <w:rPr>
          <w:i/>
          <w:sz w:val="26"/>
          <w:szCs w:val="26"/>
          <w:lang w:val="ro-RO"/>
        </w:rPr>
        <w:t>ii de la Luxemburg;</w:t>
      </w:r>
    </w:p>
    <w:p w14:paraId="700BA6D2" w14:textId="77777777" w:rsidR="00446F48" w:rsidRPr="00446F48" w:rsidRDefault="00446F48" w:rsidP="00446F48">
      <w:pPr>
        <w:spacing w:after="0"/>
        <w:jc w:val="both"/>
        <w:rPr>
          <w:i/>
          <w:sz w:val="26"/>
          <w:szCs w:val="26"/>
          <w:lang w:val="ro-RO"/>
        </w:rPr>
      </w:pPr>
      <w:r w:rsidRPr="00446F48">
        <w:rPr>
          <w:i/>
          <w:sz w:val="26"/>
          <w:szCs w:val="26"/>
          <w:lang w:val="ro-RO"/>
        </w:rPr>
        <w:tab/>
        <w:t>- recurgerea la opiniile formulate în doctrina materiei;</w:t>
      </w:r>
    </w:p>
    <w:p w14:paraId="0A0BBE54" w14:textId="77777777" w:rsidR="00446F48" w:rsidRPr="00446F48" w:rsidRDefault="00446F48" w:rsidP="00446F48">
      <w:pPr>
        <w:spacing w:after="0"/>
        <w:jc w:val="both"/>
        <w:rPr>
          <w:i/>
          <w:sz w:val="26"/>
          <w:szCs w:val="26"/>
          <w:lang w:val="ro-RO"/>
        </w:rPr>
      </w:pPr>
      <w:r w:rsidRPr="00446F48">
        <w:rPr>
          <w:i/>
          <w:sz w:val="26"/>
          <w:szCs w:val="26"/>
          <w:lang w:val="ro-RO"/>
        </w:rPr>
        <w:tab/>
        <w:t>- limbajul juridic;</w:t>
      </w:r>
    </w:p>
    <w:p w14:paraId="7F914FB0" w14:textId="77777777" w:rsidR="00446F48" w:rsidRPr="00446F48" w:rsidRDefault="00446F48" w:rsidP="00446F48">
      <w:pPr>
        <w:spacing w:after="0"/>
        <w:jc w:val="both"/>
        <w:rPr>
          <w:i/>
          <w:sz w:val="26"/>
          <w:szCs w:val="26"/>
          <w:lang w:val="ro-RO"/>
        </w:rPr>
      </w:pPr>
      <w:r w:rsidRPr="00446F48">
        <w:rPr>
          <w:i/>
          <w:sz w:val="26"/>
          <w:szCs w:val="26"/>
          <w:lang w:val="ro-RO"/>
        </w:rPr>
        <w:tab/>
        <w:t xml:space="preserve">- logica </w:t>
      </w:r>
      <w:r>
        <w:rPr>
          <w:i/>
          <w:sz w:val="26"/>
          <w:szCs w:val="26"/>
          <w:lang w:val="ro-RO"/>
        </w:rPr>
        <w:t>ș</w:t>
      </w:r>
      <w:r w:rsidRPr="00446F48">
        <w:rPr>
          <w:i/>
          <w:sz w:val="26"/>
          <w:szCs w:val="26"/>
          <w:lang w:val="ro-RO"/>
        </w:rPr>
        <w:t>i pertinen</w:t>
      </w:r>
      <w:r>
        <w:rPr>
          <w:i/>
          <w:sz w:val="26"/>
          <w:szCs w:val="26"/>
          <w:lang w:val="ro-RO"/>
        </w:rPr>
        <w:t>ț</w:t>
      </w:r>
      <w:r w:rsidRPr="00446F48">
        <w:rPr>
          <w:i/>
          <w:sz w:val="26"/>
          <w:szCs w:val="26"/>
          <w:lang w:val="ro-RO"/>
        </w:rPr>
        <w:t>a argumentării;</w:t>
      </w:r>
    </w:p>
    <w:p w14:paraId="04AB1577" w14:textId="77777777" w:rsidR="00446F48" w:rsidRPr="00446F48" w:rsidRDefault="00446F48" w:rsidP="00446F48">
      <w:pPr>
        <w:spacing w:after="0"/>
        <w:jc w:val="both"/>
        <w:rPr>
          <w:b/>
          <w:sz w:val="26"/>
          <w:szCs w:val="26"/>
          <w:lang w:val="ro-RO"/>
        </w:rPr>
      </w:pPr>
      <w:r w:rsidRPr="00446F48">
        <w:rPr>
          <w:i/>
          <w:sz w:val="26"/>
          <w:szCs w:val="26"/>
          <w:lang w:val="ro-RO"/>
        </w:rPr>
        <w:tab/>
        <w:t>- nota de personalitate - răspunsul poate fi nuan</w:t>
      </w:r>
      <w:r>
        <w:rPr>
          <w:i/>
          <w:sz w:val="26"/>
          <w:szCs w:val="26"/>
          <w:lang w:val="ro-RO"/>
        </w:rPr>
        <w:t>ț</w:t>
      </w:r>
      <w:r w:rsidRPr="00446F48">
        <w:rPr>
          <w:i/>
          <w:sz w:val="26"/>
          <w:szCs w:val="26"/>
          <w:lang w:val="ro-RO"/>
        </w:rPr>
        <w:t>at (diferit), în func</w:t>
      </w:r>
      <w:r>
        <w:rPr>
          <w:i/>
          <w:sz w:val="26"/>
          <w:szCs w:val="26"/>
          <w:lang w:val="ro-RO"/>
        </w:rPr>
        <w:t>ț</w:t>
      </w:r>
      <w:r w:rsidRPr="00446F48">
        <w:rPr>
          <w:i/>
          <w:sz w:val="26"/>
          <w:szCs w:val="26"/>
          <w:lang w:val="ro-RO"/>
        </w:rPr>
        <w:t>ie de interpretarea dată situa</w:t>
      </w:r>
      <w:r>
        <w:rPr>
          <w:i/>
          <w:sz w:val="26"/>
          <w:szCs w:val="26"/>
          <w:lang w:val="ro-RO"/>
        </w:rPr>
        <w:t>ț</w:t>
      </w:r>
      <w:r w:rsidRPr="00446F48">
        <w:rPr>
          <w:i/>
          <w:sz w:val="26"/>
          <w:szCs w:val="26"/>
          <w:lang w:val="ro-RO"/>
        </w:rPr>
        <w:t xml:space="preserve">iei de fapt </w:t>
      </w:r>
      <w:r>
        <w:rPr>
          <w:i/>
          <w:sz w:val="26"/>
          <w:szCs w:val="26"/>
          <w:lang w:val="ro-RO"/>
        </w:rPr>
        <w:t>ș</w:t>
      </w:r>
      <w:r w:rsidRPr="00446F48">
        <w:rPr>
          <w:i/>
          <w:sz w:val="26"/>
          <w:szCs w:val="26"/>
          <w:lang w:val="ro-RO"/>
        </w:rPr>
        <w:t>i de argumentele invocate.</w:t>
      </w:r>
    </w:p>
    <w:sectPr w:rsidR="00446F48" w:rsidRPr="00446F48" w:rsidSect="000E587B">
      <w:headerReference w:type="default" r:id="rId8"/>
      <w:footerReference w:type="default" r:id="rId9"/>
      <w:pgSz w:w="12240" w:h="15840"/>
      <w:pgMar w:top="720" w:right="90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8F170" w14:textId="77777777" w:rsidR="005C428E" w:rsidRDefault="005C428E" w:rsidP="00B53E5C">
      <w:pPr>
        <w:spacing w:after="0" w:line="240" w:lineRule="auto"/>
      </w:pPr>
      <w:r>
        <w:separator/>
      </w:r>
    </w:p>
  </w:endnote>
  <w:endnote w:type="continuationSeparator" w:id="0">
    <w:p w14:paraId="30F1C589" w14:textId="77777777" w:rsidR="005C428E" w:rsidRDefault="005C428E" w:rsidP="00B5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957B" w14:textId="77777777" w:rsidR="001575A7" w:rsidRDefault="001575A7">
    <w:pPr>
      <w:pStyle w:val="Footer"/>
      <w:jc w:val="right"/>
    </w:pPr>
    <w:r>
      <w:fldChar w:fldCharType="begin"/>
    </w:r>
    <w:r>
      <w:instrText xml:space="preserve"> PAGE   \* MERGEFORMAT </w:instrText>
    </w:r>
    <w:r>
      <w:fldChar w:fldCharType="separate"/>
    </w:r>
    <w:r w:rsidR="000C19CE">
      <w:rPr>
        <w:noProof/>
      </w:rPr>
      <w:t>1</w:t>
    </w:r>
    <w:r>
      <w:rPr>
        <w:noProof/>
      </w:rPr>
      <w:fldChar w:fldCharType="end"/>
    </w:r>
    <w:r>
      <w:t xml:space="preserve"> </w:t>
    </w:r>
  </w:p>
  <w:p w14:paraId="474C56F1" w14:textId="77777777" w:rsidR="00016607" w:rsidRDefault="00016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BA7E" w14:textId="77777777" w:rsidR="005C428E" w:rsidRDefault="005C428E" w:rsidP="00B53E5C">
      <w:pPr>
        <w:spacing w:after="0" w:line="240" w:lineRule="auto"/>
      </w:pPr>
      <w:r>
        <w:separator/>
      </w:r>
    </w:p>
  </w:footnote>
  <w:footnote w:type="continuationSeparator" w:id="0">
    <w:p w14:paraId="6F451FEE" w14:textId="77777777" w:rsidR="005C428E" w:rsidRDefault="005C428E" w:rsidP="00B53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9881D" w14:textId="77777777" w:rsidR="00016607" w:rsidRDefault="00016607">
    <w:pPr>
      <w:pStyle w:val="Header"/>
    </w:pPr>
  </w:p>
  <w:p w14:paraId="2A17914F" w14:textId="77777777" w:rsidR="00016607" w:rsidRDefault="00016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256D"/>
    <w:multiLevelType w:val="hybridMultilevel"/>
    <w:tmpl w:val="046E45E0"/>
    <w:lvl w:ilvl="0" w:tplc="CC069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7C1455"/>
    <w:multiLevelType w:val="hybridMultilevel"/>
    <w:tmpl w:val="7CFC70A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F2805DF"/>
    <w:multiLevelType w:val="hybridMultilevel"/>
    <w:tmpl w:val="BBB46E0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F792BBB"/>
    <w:multiLevelType w:val="hybridMultilevel"/>
    <w:tmpl w:val="8E1656BA"/>
    <w:lvl w:ilvl="0" w:tplc="3C782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634727C"/>
    <w:multiLevelType w:val="hybridMultilevel"/>
    <w:tmpl w:val="CCEC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A4ACD"/>
    <w:multiLevelType w:val="hybridMultilevel"/>
    <w:tmpl w:val="C308B02A"/>
    <w:lvl w:ilvl="0" w:tplc="041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D70FC9"/>
    <w:multiLevelType w:val="hybridMultilevel"/>
    <w:tmpl w:val="82325378"/>
    <w:lvl w:ilvl="0" w:tplc="30A219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E5C"/>
    <w:rsid w:val="00016607"/>
    <w:rsid w:val="00045775"/>
    <w:rsid w:val="000C19CE"/>
    <w:rsid w:val="000C60F3"/>
    <w:rsid w:val="000E587B"/>
    <w:rsid w:val="000E61D0"/>
    <w:rsid w:val="00102F40"/>
    <w:rsid w:val="00131F20"/>
    <w:rsid w:val="00132FF2"/>
    <w:rsid w:val="00144E71"/>
    <w:rsid w:val="001575A7"/>
    <w:rsid w:val="001A2B56"/>
    <w:rsid w:val="00230DA6"/>
    <w:rsid w:val="002F3E44"/>
    <w:rsid w:val="0032346F"/>
    <w:rsid w:val="0035256D"/>
    <w:rsid w:val="003C4442"/>
    <w:rsid w:val="003D7AC4"/>
    <w:rsid w:val="00446F48"/>
    <w:rsid w:val="00485D66"/>
    <w:rsid w:val="00493C48"/>
    <w:rsid w:val="004957F3"/>
    <w:rsid w:val="004B5C2D"/>
    <w:rsid w:val="005026F9"/>
    <w:rsid w:val="005B7DFD"/>
    <w:rsid w:val="005C428E"/>
    <w:rsid w:val="006A1071"/>
    <w:rsid w:val="006D62AA"/>
    <w:rsid w:val="006E1B14"/>
    <w:rsid w:val="006E72DD"/>
    <w:rsid w:val="006F7232"/>
    <w:rsid w:val="00776993"/>
    <w:rsid w:val="0080601F"/>
    <w:rsid w:val="008434EC"/>
    <w:rsid w:val="00870748"/>
    <w:rsid w:val="00884CFA"/>
    <w:rsid w:val="008B5286"/>
    <w:rsid w:val="00932BDC"/>
    <w:rsid w:val="00940112"/>
    <w:rsid w:val="009A13F7"/>
    <w:rsid w:val="009C3F4A"/>
    <w:rsid w:val="009D6351"/>
    <w:rsid w:val="00A23EB1"/>
    <w:rsid w:val="00A30353"/>
    <w:rsid w:val="00A74914"/>
    <w:rsid w:val="00AE7F07"/>
    <w:rsid w:val="00B01D00"/>
    <w:rsid w:val="00B53E5C"/>
    <w:rsid w:val="00BB29CE"/>
    <w:rsid w:val="00C105CB"/>
    <w:rsid w:val="00CD2DB8"/>
    <w:rsid w:val="00D2443C"/>
    <w:rsid w:val="00D26E3B"/>
    <w:rsid w:val="00D6179D"/>
    <w:rsid w:val="00E73419"/>
    <w:rsid w:val="00F32567"/>
    <w:rsid w:val="00FB11CF"/>
    <w:rsid w:val="00FD02D4"/>
    <w:rsid w:val="00FF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1ABB96"/>
  <w15:chartTrackingRefBased/>
  <w15:docId w15:val="{9131EC71-C915-4E72-9C8C-E6DE180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3358</Characters>
  <Application>Microsoft Office Word</Application>
  <DocSecurity>0</DocSecurity>
  <Lines>63</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INPPA</vt:lpstr>
      <vt:lpstr>INPPA</vt:lpstr>
    </vt:vector>
  </TitlesOfParts>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INPPA</dc:title>
  <dc:subject/>
  <dc:creator>Cristina</dc:creator>
  <cp:keywords/>
  <cp:lastModifiedBy>Sandu Gherasim</cp:lastModifiedBy>
  <cp:revision>2</cp:revision>
  <dcterms:created xsi:type="dcterms:W3CDTF">2016-07-12T16:31:00Z</dcterms:created>
  <dcterms:modified xsi:type="dcterms:W3CDTF">2016-07-12T16:31:00Z</dcterms:modified>
</cp:coreProperties>
</file>